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4C" w:rsidRPr="00B4664C" w:rsidRDefault="00B4664C" w:rsidP="00B4664C">
      <w:pPr>
        <w:spacing w:before="100" w:beforeAutospacing="1" w:after="100" w:afterAutospacing="1" w:line="240" w:lineRule="auto"/>
        <w:outlineLvl w:val="2"/>
        <w:rPr>
          <w:rFonts w:ascii="Times New Roman" w:eastAsia="Times New Roman" w:hAnsi="Times New Roman" w:cs="Times New Roman"/>
          <w:b/>
          <w:bCs/>
          <w:sz w:val="27"/>
          <w:szCs w:val="27"/>
        </w:rPr>
      </w:pPr>
      <w:r w:rsidRPr="00B4664C">
        <w:rPr>
          <w:rFonts w:ascii="Times New Roman" w:eastAsia="Times New Roman" w:hAnsi="Times New Roman" w:cs="Times New Roman"/>
          <w:b/>
          <w:bCs/>
          <w:sz w:val="27"/>
          <w:szCs w:val="27"/>
        </w:rPr>
        <w:t>Exports Grow by 1.77% in November 2025, Reflecting Steady Momentum</w:t>
      </w:r>
    </w:p>
    <w:p w:rsidR="00B4664C" w:rsidRPr="00B4664C" w:rsidRDefault="00B4664C" w:rsidP="00B4664C">
      <w:pPr>
        <w:spacing w:before="100" w:beforeAutospacing="1" w:after="100" w:afterAutospacing="1" w:line="240" w:lineRule="auto"/>
        <w:jc w:val="both"/>
        <w:rPr>
          <w:rFonts w:ascii="Times New Roman" w:eastAsia="Times New Roman" w:hAnsi="Times New Roman" w:cs="Times New Roman"/>
          <w:sz w:val="24"/>
          <w:szCs w:val="24"/>
        </w:rPr>
      </w:pPr>
      <w:r w:rsidRPr="00B4664C">
        <w:rPr>
          <w:rFonts w:ascii="Times New Roman" w:eastAsia="Times New Roman" w:hAnsi="Times New Roman" w:cs="Times New Roman"/>
          <w:sz w:val="24"/>
          <w:szCs w:val="24"/>
        </w:rPr>
        <w:t>Bangladesh’s export earnings reached USD 3,891.56 million in November 2025, marking a 1.77% increase compared to the previous month and reinforcing the country’s steady export momentum.</w:t>
      </w:r>
    </w:p>
    <w:p w:rsidR="00B4664C" w:rsidRPr="00B4664C" w:rsidRDefault="00B4664C" w:rsidP="00B4664C">
      <w:pPr>
        <w:spacing w:before="100" w:beforeAutospacing="1" w:after="100" w:afterAutospacing="1" w:line="240" w:lineRule="auto"/>
        <w:jc w:val="both"/>
        <w:rPr>
          <w:rFonts w:ascii="Times New Roman" w:eastAsia="Times New Roman" w:hAnsi="Times New Roman" w:cs="Times New Roman"/>
          <w:sz w:val="24"/>
          <w:szCs w:val="24"/>
        </w:rPr>
      </w:pPr>
      <w:r w:rsidRPr="00B4664C">
        <w:rPr>
          <w:rFonts w:ascii="Times New Roman" w:eastAsia="Times New Roman" w:hAnsi="Times New Roman" w:cs="Times New Roman"/>
          <w:sz w:val="24"/>
          <w:szCs w:val="24"/>
        </w:rPr>
        <w:t>During the first five months of the FY 2025–26 (July–November), total exports stood at USD 20,028.59 million, showing a 0.62% growth over the same period of the previous fiscal year, which recorded USD 19,906.01 million.</w:t>
      </w:r>
    </w:p>
    <w:p w:rsidR="00B4664C" w:rsidRPr="00B4664C" w:rsidRDefault="00B4664C" w:rsidP="00B4664C">
      <w:pPr>
        <w:spacing w:before="100" w:beforeAutospacing="1" w:after="100" w:afterAutospacing="1" w:line="240" w:lineRule="auto"/>
        <w:jc w:val="both"/>
        <w:rPr>
          <w:rFonts w:ascii="Times New Roman" w:eastAsia="Times New Roman" w:hAnsi="Times New Roman" w:cs="Times New Roman"/>
          <w:sz w:val="24"/>
          <w:szCs w:val="24"/>
        </w:rPr>
      </w:pPr>
      <w:r w:rsidRPr="00B4664C">
        <w:rPr>
          <w:rFonts w:ascii="Times New Roman" w:eastAsia="Times New Roman" w:hAnsi="Times New Roman" w:cs="Times New Roman"/>
          <w:sz w:val="24"/>
          <w:szCs w:val="24"/>
        </w:rPr>
        <w:t>While exports in November 2025 registered a 5.54% year-on-year decline compared to November 2024, the overall monthly upward trend signals sustained resilience and adaptability within Bangladesh’s export sectors.</w:t>
      </w:r>
    </w:p>
    <w:p w:rsidR="00B4664C" w:rsidRPr="00B4664C" w:rsidRDefault="00B4664C" w:rsidP="00B4664C">
      <w:pPr>
        <w:spacing w:before="100" w:beforeAutospacing="1" w:after="100" w:afterAutospacing="1" w:line="240" w:lineRule="auto"/>
        <w:jc w:val="both"/>
        <w:rPr>
          <w:rFonts w:ascii="Times New Roman" w:eastAsia="Times New Roman" w:hAnsi="Times New Roman" w:cs="Times New Roman"/>
          <w:sz w:val="24"/>
          <w:szCs w:val="24"/>
        </w:rPr>
      </w:pPr>
      <w:r w:rsidRPr="00B4664C">
        <w:rPr>
          <w:rFonts w:ascii="Times New Roman" w:eastAsia="Times New Roman" w:hAnsi="Times New Roman" w:cs="Times New Roman"/>
          <w:sz w:val="24"/>
          <w:szCs w:val="24"/>
        </w:rPr>
        <w:t>The apparel sector remains the backbone of export performance, contributing USD 3,140.94 million in November 2025. Both knitwear and woven garments continued to drive earnings, supported by strong contributions from leather and leather goods, agricultural products, jute and jute goods, home textiles, pharmaceuticals, ships, shrimp, and light engineering products. These diverse sectors collectively strengthened the country’s export portfolio.</w:t>
      </w:r>
    </w:p>
    <w:p w:rsidR="00B4664C" w:rsidRPr="00B4664C" w:rsidRDefault="00B4664C" w:rsidP="00B4664C">
      <w:pPr>
        <w:spacing w:before="100" w:beforeAutospacing="1" w:after="100" w:afterAutospacing="1" w:line="240" w:lineRule="auto"/>
        <w:jc w:val="both"/>
        <w:rPr>
          <w:rFonts w:ascii="Times New Roman" w:eastAsia="Times New Roman" w:hAnsi="Times New Roman" w:cs="Times New Roman"/>
          <w:sz w:val="24"/>
          <w:szCs w:val="24"/>
        </w:rPr>
      </w:pPr>
      <w:r w:rsidRPr="00B4664C">
        <w:rPr>
          <w:rFonts w:ascii="Times New Roman" w:eastAsia="Times New Roman" w:hAnsi="Times New Roman" w:cs="Times New Roman"/>
          <w:sz w:val="24"/>
          <w:szCs w:val="24"/>
        </w:rPr>
        <w:t>Among key export destinations, the United States and the United Kingdom maintained their leading positions, achieving growth rates of 4.20% and 3.04%, respectively. Exports to several emerging and strategic markets also rose significantly—China (23.83%), Poland (11.57%), Saudi Arabia (11.34%), and Spain (10.46%)—reflecting Bangladesh’s expanding global market footprint.</w:t>
      </w:r>
    </w:p>
    <w:p w:rsidR="00B4664C" w:rsidRPr="00B4664C" w:rsidRDefault="00B4664C" w:rsidP="00B4664C">
      <w:pPr>
        <w:spacing w:before="100" w:beforeAutospacing="1" w:after="100" w:afterAutospacing="1" w:line="240" w:lineRule="auto"/>
        <w:jc w:val="both"/>
        <w:rPr>
          <w:rFonts w:ascii="Times New Roman" w:eastAsia="Times New Roman" w:hAnsi="Times New Roman" w:cs="Times New Roman"/>
          <w:sz w:val="24"/>
          <w:szCs w:val="24"/>
        </w:rPr>
      </w:pPr>
      <w:r w:rsidRPr="00B4664C">
        <w:rPr>
          <w:rFonts w:ascii="Times New Roman" w:eastAsia="Times New Roman" w:hAnsi="Times New Roman" w:cs="Times New Roman"/>
          <w:sz w:val="24"/>
          <w:szCs w:val="24"/>
        </w:rPr>
        <w:t>Despite year-on-year fluctuations, the continued month-on-month growth and strong performance across major sectors underscore the resilience, competitiveness, and positive outlook for Bangladesh’s export industries in the global market.</w:t>
      </w:r>
    </w:p>
    <w:p w:rsidR="00CE78C8" w:rsidRDefault="00CE78C8"/>
    <w:sectPr w:rsidR="00CE78C8" w:rsidSect="00227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64C"/>
    <w:rsid w:val="00227B66"/>
    <w:rsid w:val="00A35B6B"/>
    <w:rsid w:val="00B4664C"/>
    <w:rsid w:val="00CE78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B66"/>
  </w:style>
  <w:style w:type="paragraph" w:styleId="Heading3">
    <w:name w:val="heading 3"/>
    <w:basedOn w:val="Normal"/>
    <w:link w:val="Heading3Char"/>
    <w:uiPriority w:val="9"/>
    <w:qFormat/>
    <w:rsid w:val="00B466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64C"/>
    <w:rPr>
      <w:rFonts w:ascii="Times New Roman" w:eastAsia="Times New Roman" w:hAnsi="Times New Roman" w:cs="Times New Roman"/>
      <w:b/>
      <w:bCs/>
      <w:sz w:val="27"/>
      <w:szCs w:val="27"/>
    </w:rPr>
  </w:style>
  <w:style w:type="character" w:styleId="Strong">
    <w:name w:val="Strong"/>
    <w:basedOn w:val="DefaultParagraphFont"/>
    <w:uiPriority w:val="22"/>
    <w:qFormat/>
    <w:rsid w:val="00B4664C"/>
    <w:rPr>
      <w:b/>
      <w:bCs/>
    </w:rPr>
  </w:style>
  <w:style w:type="paragraph" w:styleId="NormalWeb">
    <w:name w:val="Normal (Web)"/>
    <w:basedOn w:val="Normal"/>
    <w:uiPriority w:val="99"/>
    <w:semiHidden/>
    <w:unhideWhenUsed/>
    <w:rsid w:val="00B466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Arveen Alamgir</dc:creator>
  <cp:lastModifiedBy>epb</cp:lastModifiedBy>
  <cp:revision>2</cp:revision>
  <dcterms:created xsi:type="dcterms:W3CDTF">2025-12-04T09:48:00Z</dcterms:created>
  <dcterms:modified xsi:type="dcterms:W3CDTF">2025-12-04T09:48:00Z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992f6cd5-82ca-4be4-9deb-0a180351ce26</vt:lpwstr>
  </property>
</Properties>
</file>