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86D9" w14:textId="23B3EF00" w:rsidR="005A7A65" w:rsidRPr="00C43FEC" w:rsidRDefault="00C43FEC" w:rsidP="00C43F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Exports Grow 5.41% in October 2025 Compared to </w:t>
      </w:r>
      <w:r w:rsidRPr="00C43F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C43FEC">
        <w:rPr>
          <w:rFonts w:ascii="Times New Roman" w:eastAsia="Times New Roman" w:hAnsi="Times New Roman" w:cs="Times New Roman"/>
          <w:b/>
          <w:bCs/>
          <w:sz w:val="28"/>
          <w:szCs w:val="28"/>
        </w:rPr>
        <w:t>Previous Month</w:t>
      </w:r>
    </w:p>
    <w:p w14:paraId="2A7630A2" w14:textId="77777777" w:rsidR="00C43FEC" w:rsidRDefault="00C43FEC" w:rsidP="00C43FEC">
      <w:pPr>
        <w:pStyle w:val="NormalWeb"/>
      </w:pPr>
      <w:r>
        <w:t xml:space="preserve">Bangladesh’s export earnings for </w:t>
      </w:r>
      <w:r w:rsidRPr="00C43FEC">
        <w:rPr>
          <w:rStyle w:val="Strong"/>
          <w:b w:val="0"/>
          <w:bCs w:val="0"/>
        </w:rPr>
        <w:t>October 2025</w:t>
      </w:r>
      <w:r>
        <w:t xml:space="preserve"> stood at </w:t>
      </w:r>
      <w:r w:rsidRPr="00C43FEC">
        <w:rPr>
          <w:rStyle w:val="Strong"/>
          <w:b w:val="0"/>
          <w:bCs w:val="0"/>
        </w:rPr>
        <w:t>USD 3,823.86 million</w:t>
      </w:r>
      <w:r w:rsidRPr="00C43FEC">
        <w:rPr>
          <w:b/>
          <w:bCs/>
        </w:rPr>
        <w:t>,</w:t>
      </w:r>
      <w:r>
        <w:t xml:space="preserve"> marking a </w:t>
      </w:r>
      <w:r w:rsidRPr="00C43FEC">
        <w:rPr>
          <w:rStyle w:val="Strong"/>
          <w:b w:val="0"/>
          <w:bCs w:val="0"/>
        </w:rPr>
        <w:t>5.41% growth</w:t>
      </w:r>
      <w:r>
        <w:t xml:space="preserve"> compared to </w:t>
      </w:r>
      <w:r w:rsidRPr="00C43FEC">
        <w:rPr>
          <w:rStyle w:val="Strong"/>
          <w:b w:val="0"/>
          <w:bCs w:val="0"/>
        </w:rPr>
        <w:t>September 2025</w:t>
      </w:r>
      <w:r w:rsidRPr="00C43FEC">
        <w:rPr>
          <w:b/>
          <w:bCs/>
        </w:rPr>
        <w:t>.</w:t>
      </w:r>
    </w:p>
    <w:p w14:paraId="13347977" w14:textId="77777777" w:rsidR="00C43FEC" w:rsidRDefault="00C43FEC" w:rsidP="00C43FEC">
      <w:pPr>
        <w:pStyle w:val="NormalWeb"/>
        <w:jc w:val="both"/>
      </w:pPr>
      <w:r>
        <w:t xml:space="preserve">During the first four months of the current fiscal year </w:t>
      </w:r>
      <w:r w:rsidRPr="00C43FEC">
        <w:rPr>
          <w:b/>
          <w:bCs/>
        </w:rPr>
        <w:t>(</w:t>
      </w:r>
      <w:r w:rsidRPr="00C43FEC">
        <w:rPr>
          <w:rStyle w:val="Strong"/>
          <w:b w:val="0"/>
          <w:bCs w:val="0"/>
        </w:rPr>
        <w:t>July–October 2025–26</w:t>
      </w:r>
      <w:r w:rsidRPr="00C43FEC">
        <w:rPr>
          <w:b/>
          <w:bCs/>
        </w:rPr>
        <w:t>),</w:t>
      </w:r>
      <w:r>
        <w:t xml:space="preserve"> total exports reached </w:t>
      </w:r>
      <w:r w:rsidRPr="00C43FEC">
        <w:rPr>
          <w:rStyle w:val="Strong"/>
          <w:b w:val="0"/>
          <w:bCs w:val="0"/>
        </w:rPr>
        <w:t>USD 16,137.03 million</w:t>
      </w:r>
      <w:r>
        <w:t xml:space="preserve">, reflecting a </w:t>
      </w:r>
      <w:r w:rsidRPr="00C43FEC">
        <w:rPr>
          <w:rStyle w:val="Strong"/>
          <w:b w:val="0"/>
          <w:bCs w:val="0"/>
        </w:rPr>
        <w:t>2.22% growth</w:t>
      </w:r>
      <w:r>
        <w:t xml:space="preserve"> over the corresponding period of the previous fiscal year, which recorded </w:t>
      </w:r>
      <w:r w:rsidRPr="00C43FEC">
        <w:rPr>
          <w:rStyle w:val="Strong"/>
          <w:b w:val="0"/>
          <w:bCs w:val="0"/>
        </w:rPr>
        <w:t>USD 15,786.32 million</w:t>
      </w:r>
      <w:r w:rsidRPr="00C43FEC">
        <w:rPr>
          <w:b/>
          <w:bCs/>
        </w:rPr>
        <w:t>.</w:t>
      </w:r>
    </w:p>
    <w:p w14:paraId="5F249010" w14:textId="77777777" w:rsidR="00C43FEC" w:rsidRDefault="00C43FEC" w:rsidP="00C43FEC">
      <w:pPr>
        <w:pStyle w:val="NormalWeb"/>
        <w:jc w:val="both"/>
      </w:pPr>
      <w:r>
        <w:t xml:space="preserve">However, on a </w:t>
      </w:r>
      <w:r w:rsidRPr="00C43FEC">
        <w:rPr>
          <w:rStyle w:val="Strong"/>
          <w:b w:val="0"/>
          <w:bCs w:val="0"/>
        </w:rPr>
        <w:t>year-on-year basis</w:t>
      </w:r>
      <w:r>
        <w:t xml:space="preserve">, exports in </w:t>
      </w:r>
      <w:r w:rsidRPr="00C43FEC">
        <w:rPr>
          <w:rStyle w:val="Strong"/>
          <w:b w:val="0"/>
          <w:bCs w:val="0"/>
        </w:rPr>
        <w:t>October 2025</w:t>
      </w:r>
      <w:r>
        <w:t xml:space="preserve"> declined by </w:t>
      </w:r>
      <w:r w:rsidRPr="00C43FEC">
        <w:rPr>
          <w:rStyle w:val="Strong"/>
          <w:b w:val="0"/>
          <w:bCs w:val="0"/>
        </w:rPr>
        <w:t>7.43%</w:t>
      </w:r>
      <w:r>
        <w:t xml:space="preserve"> compared to </w:t>
      </w:r>
      <w:r w:rsidRPr="00C43FEC">
        <w:rPr>
          <w:rStyle w:val="Strong"/>
          <w:b w:val="0"/>
          <w:bCs w:val="0"/>
        </w:rPr>
        <w:t>October 2024</w:t>
      </w:r>
      <w:r w:rsidRPr="00C43FEC">
        <w:rPr>
          <w:b/>
          <w:bCs/>
        </w:rPr>
        <w:t>.</w:t>
      </w:r>
    </w:p>
    <w:p w14:paraId="18B79ABE" w14:textId="3D10E582" w:rsidR="00C43FEC" w:rsidRDefault="00C43FEC" w:rsidP="00C43FEC">
      <w:pPr>
        <w:pStyle w:val="NormalWeb"/>
        <w:jc w:val="both"/>
      </w:pPr>
      <w:r>
        <w:t xml:space="preserve">The </w:t>
      </w:r>
      <w:r w:rsidRPr="00C43FEC">
        <w:rPr>
          <w:rStyle w:val="Strong"/>
          <w:b w:val="0"/>
          <w:bCs w:val="0"/>
        </w:rPr>
        <w:t>apparel sector</w:t>
      </w:r>
      <w:r>
        <w:t xml:space="preserve"> continues to maintain its dominant position, contributing </w:t>
      </w:r>
      <w:r w:rsidRPr="00C43FEC">
        <w:rPr>
          <w:rStyle w:val="Strong"/>
          <w:b w:val="0"/>
          <w:bCs w:val="0"/>
        </w:rPr>
        <w:t>USD 3,019.94</w:t>
      </w:r>
      <w:r>
        <w:rPr>
          <w:rStyle w:val="Strong"/>
        </w:rPr>
        <w:t xml:space="preserve"> </w:t>
      </w:r>
      <w:r w:rsidRPr="00C43FEC">
        <w:rPr>
          <w:rStyle w:val="Strong"/>
          <w:b w:val="0"/>
          <w:bCs w:val="0"/>
        </w:rPr>
        <w:t>million</w:t>
      </w:r>
      <w:r w:rsidRPr="00C43FEC">
        <w:rPr>
          <w:b/>
          <w:bCs/>
        </w:rPr>
        <w:t xml:space="preserve"> </w:t>
      </w:r>
      <w:r>
        <w:t xml:space="preserve">in October 2025. Within this sector, both </w:t>
      </w:r>
      <w:r w:rsidRPr="00C43FEC">
        <w:rPr>
          <w:rStyle w:val="Strong"/>
          <w:b w:val="0"/>
          <w:bCs w:val="0"/>
        </w:rPr>
        <w:t>knitwear and woven garments</w:t>
      </w:r>
      <w:r>
        <w:t xml:space="preserve"> remained the major export earners. Other significant contributors include </w:t>
      </w:r>
      <w:r w:rsidRPr="00C43FEC">
        <w:rPr>
          <w:rStyle w:val="Strong"/>
          <w:b w:val="0"/>
          <w:bCs w:val="0"/>
        </w:rPr>
        <w:t xml:space="preserve">leather and leather goods, </w:t>
      </w:r>
      <w:r w:rsidR="00D34615" w:rsidRPr="00C43FEC">
        <w:rPr>
          <w:rStyle w:val="Strong"/>
          <w:b w:val="0"/>
          <w:bCs w:val="0"/>
        </w:rPr>
        <w:t>agricultural products</w:t>
      </w:r>
      <w:r w:rsidR="00D34615">
        <w:rPr>
          <w:rStyle w:val="Strong"/>
          <w:b w:val="0"/>
          <w:bCs w:val="0"/>
        </w:rPr>
        <w:t xml:space="preserve"> Jute and Jute Goods, </w:t>
      </w:r>
      <w:r w:rsidRPr="00C43FEC">
        <w:rPr>
          <w:rStyle w:val="Strong"/>
          <w:b w:val="0"/>
          <w:bCs w:val="0"/>
        </w:rPr>
        <w:t>home textiles,</w:t>
      </w:r>
      <w:r>
        <w:rPr>
          <w:rStyle w:val="Strong"/>
        </w:rPr>
        <w:t xml:space="preserve"> </w:t>
      </w:r>
      <w:r w:rsidRPr="00C43FEC">
        <w:rPr>
          <w:rStyle w:val="Strong"/>
          <w:b w:val="0"/>
          <w:bCs w:val="0"/>
        </w:rPr>
        <w:t>pharmaceuticals, ships, shrimp, and</w:t>
      </w:r>
      <w:r w:rsidR="00D34615">
        <w:rPr>
          <w:rStyle w:val="Strong"/>
          <w:b w:val="0"/>
          <w:bCs w:val="0"/>
        </w:rPr>
        <w:t xml:space="preserve"> Light Engineering Products </w:t>
      </w:r>
      <w:r>
        <w:t>, which collectively strengthened Bangladesh’s export basket.</w:t>
      </w:r>
    </w:p>
    <w:p w14:paraId="669D410F" w14:textId="77777777" w:rsidR="00D34615" w:rsidRDefault="00D34615" w:rsidP="00C43FEC">
      <w:pPr>
        <w:pStyle w:val="NormalWeb"/>
        <w:jc w:val="both"/>
      </w:pPr>
      <w:r>
        <w:t>As top export destinations, the United States and the United Kingdom maintained their leading positions with growth rates of 6.89% and 2.82%, respectively. Bangladesh’s exports to China, Saudi Arabia, Canada, and Spain also recorded significant growth during this period, increasing by 25%, 15.37%, 12.36%, and 12.64%, respectively.</w:t>
      </w:r>
    </w:p>
    <w:p w14:paraId="56B83833" w14:textId="0FAC78A6" w:rsidR="00C43FEC" w:rsidRDefault="00C43FEC" w:rsidP="00C43FEC">
      <w:pPr>
        <w:pStyle w:val="NormalWeb"/>
        <w:jc w:val="both"/>
      </w:pPr>
      <w:r>
        <w:t>Despite the year-on-year decline, the steady monthly growth trend and positive performance in key sectors demonstrate the resilience and competitiveness of Bangladesh’s export industries in the global market.</w:t>
      </w:r>
    </w:p>
    <w:p w14:paraId="40411706" w14:textId="77777777" w:rsidR="00C43FEC" w:rsidRPr="00C43FEC" w:rsidRDefault="00C43FEC" w:rsidP="00C43FEC"/>
    <w:sectPr w:rsidR="00C43FEC" w:rsidRPr="00C4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AA"/>
    <w:rsid w:val="005435AA"/>
    <w:rsid w:val="005A7A65"/>
    <w:rsid w:val="00C43FEC"/>
    <w:rsid w:val="00D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6C06D"/>
  <w15:chartTrackingRefBased/>
  <w15:docId w15:val="{E66046BA-A890-4257-945D-215555F8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1320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Arveen Alamgir</dc:creator>
  <cp:keywords/>
  <dc:description/>
  <cp:lastModifiedBy>Arveen Alamgir</cp:lastModifiedBy>
  <cp:revision>3</cp:revision>
  <dcterms:created xsi:type="dcterms:W3CDTF">2025-11-03T09:30:00Z</dcterms:created>
  <dcterms:modified xsi:type="dcterms:W3CDTF">2025-11-03T10:01:00Z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90f9b535-1b6b-4bdf-9b82-ee44839e0cf2</vt:lpwstr>
  </property>
</Properties>
</file>